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F07" w:rsidRPr="000E005F" w:rsidRDefault="00412F07" w:rsidP="000E005F">
      <w:pPr>
        <w:spacing w:before="360" w:after="120"/>
        <w:jc w:val="center"/>
        <w:rPr>
          <w:b w:val="0"/>
          <w:color w:val="0A3296"/>
          <w:sz w:val="24"/>
          <w:szCs w:val="24"/>
        </w:rPr>
      </w:pPr>
      <w:r w:rsidRPr="000E005F">
        <w:rPr>
          <w:color w:val="0A3296"/>
          <w:sz w:val="24"/>
          <w:szCs w:val="24"/>
        </w:rPr>
        <w:t>Joint Action JA2016</w:t>
      </w:r>
    </w:p>
    <w:p w:rsidR="00412F07" w:rsidRPr="000E005F" w:rsidRDefault="00412F07" w:rsidP="00412F07">
      <w:pPr>
        <w:spacing w:before="120" w:after="120"/>
        <w:jc w:val="center"/>
        <w:rPr>
          <w:b w:val="0"/>
          <w:color w:val="0A3296"/>
          <w:sz w:val="18"/>
          <w:szCs w:val="18"/>
        </w:rPr>
      </w:pPr>
      <w:r w:rsidRPr="000E005F">
        <w:rPr>
          <w:color w:val="0A3296"/>
          <w:sz w:val="18"/>
          <w:szCs w:val="18"/>
        </w:rPr>
        <w:t>Grant Agreement N°739851</w:t>
      </w:r>
    </w:p>
    <w:p w:rsidR="00412F07" w:rsidRPr="000E005F" w:rsidRDefault="00412F07" w:rsidP="00412F07">
      <w:pPr>
        <w:spacing w:before="120" w:after="120"/>
        <w:jc w:val="center"/>
        <w:rPr>
          <w:color w:val="0A3296"/>
          <w:sz w:val="24"/>
          <w:szCs w:val="24"/>
        </w:rPr>
      </w:pPr>
      <w:r w:rsidRPr="000E005F">
        <w:rPr>
          <w:color w:val="0A3296"/>
          <w:sz w:val="24"/>
          <w:szCs w:val="24"/>
        </w:rPr>
        <w:t>Call for tender for test laboratories</w:t>
      </w:r>
    </w:p>
    <w:p w:rsidR="00412F07" w:rsidRPr="000E005F" w:rsidRDefault="00412F07" w:rsidP="00412F07">
      <w:pPr>
        <w:spacing w:before="120" w:after="120"/>
        <w:jc w:val="center"/>
        <w:rPr>
          <w:color w:val="0A3296"/>
          <w:sz w:val="24"/>
          <w:szCs w:val="24"/>
        </w:rPr>
      </w:pPr>
      <w:r w:rsidRPr="000E005F">
        <w:rPr>
          <w:color w:val="0A3296"/>
          <w:sz w:val="24"/>
          <w:szCs w:val="24"/>
        </w:rPr>
        <w:t>PPE / Climbing equipment</w:t>
      </w:r>
    </w:p>
    <w:p w:rsidR="00412F07" w:rsidRPr="000E005F" w:rsidRDefault="00412F07" w:rsidP="000E005F">
      <w:pPr>
        <w:pStyle w:val="Text1"/>
        <w:spacing w:before="360" w:after="360"/>
        <w:ind w:left="0"/>
        <w:rPr>
          <w:rStyle w:val="PROSAFEblue"/>
          <w:sz w:val="32"/>
          <w:szCs w:val="32"/>
        </w:rPr>
      </w:pPr>
      <w:r w:rsidRPr="000E005F">
        <w:rPr>
          <w:rStyle w:val="PROSAFEblue"/>
          <w:sz w:val="32"/>
          <w:szCs w:val="32"/>
        </w:rPr>
        <w:t>ANNEX</w:t>
      </w:r>
    </w:p>
    <w:p w:rsidR="00412F07" w:rsidRPr="000E005F" w:rsidRDefault="00412F07" w:rsidP="00412F07">
      <w:pPr>
        <w:pStyle w:val="Text1"/>
        <w:spacing w:before="240" w:after="360"/>
        <w:ind w:left="0"/>
        <w:jc w:val="center"/>
        <w:rPr>
          <w:rStyle w:val="PROSAFEblue"/>
        </w:rPr>
      </w:pPr>
      <w:r w:rsidRPr="000E005F">
        <w:rPr>
          <w:rStyle w:val="PROSAFEblue"/>
        </w:rPr>
        <w:t>Table for quot</w:t>
      </w:r>
      <w:r w:rsidR="000E005F">
        <w:rPr>
          <w:rStyle w:val="PROSAFEblue"/>
        </w:rPr>
        <w:t>ation of prices (including VAT) *</w:t>
      </w:r>
    </w:p>
    <w:tbl>
      <w:tblPr>
        <w:tblStyle w:val="Grilledutableau"/>
        <w:tblW w:w="5000" w:type="pct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</w:tblBorders>
        <w:tblLook w:val="04A0" w:firstRow="1" w:lastRow="0" w:firstColumn="1" w:lastColumn="0" w:noHBand="0" w:noVBand="1"/>
      </w:tblPr>
      <w:tblGrid>
        <w:gridCol w:w="5080"/>
        <w:gridCol w:w="3946"/>
      </w:tblGrid>
      <w:tr w:rsidR="00412F07" w:rsidTr="00412F07">
        <w:tc>
          <w:tcPr>
            <w:tcW w:w="2814" w:type="pct"/>
            <w:tcBorders>
              <w:top w:val="single" w:sz="18" w:space="0" w:color="2F5496" w:themeColor="accent5" w:themeShade="BF"/>
              <w:left w:val="single" w:sz="18" w:space="0" w:color="2F5496" w:themeColor="accent5" w:themeShade="BF"/>
              <w:bottom w:val="single" w:sz="18" w:space="0" w:color="2F5496" w:themeColor="accent5" w:themeShade="BF"/>
            </w:tcBorders>
            <w:shd w:val="clear" w:color="auto" w:fill="DEEAF6" w:themeFill="accent1" w:themeFillTint="33"/>
          </w:tcPr>
          <w:p w:rsidR="00412F07" w:rsidRPr="00530858" w:rsidRDefault="00412F07" w:rsidP="00920C24">
            <w:pPr>
              <w:spacing w:before="60" w:after="60"/>
              <w:ind w:left="113" w:right="113"/>
              <w:jc w:val="center"/>
              <w:rPr>
                <w:rStyle w:val="PROSAFEblue"/>
                <w:b/>
              </w:rPr>
            </w:pPr>
            <w:r w:rsidRPr="00530858">
              <w:rPr>
                <w:rStyle w:val="PROSAFEblue"/>
              </w:rPr>
              <w:t>Category of climbing equipment</w:t>
            </w:r>
          </w:p>
        </w:tc>
        <w:tc>
          <w:tcPr>
            <w:tcW w:w="2186" w:type="pct"/>
            <w:tcBorders>
              <w:top w:val="single" w:sz="18" w:space="0" w:color="2F5496" w:themeColor="accent5" w:themeShade="BF"/>
              <w:bottom w:val="single" w:sz="18" w:space="0" w:color="2F5496" w:themeColor="accent5" w:themeShade="BF"/>
              <w:right w:val="single" w:sz="18" w:space="0" w:color="2F5496" w:themeColor="accent5" w:themeShade="BF"/>
            </w:tcBorders>
            <w:shd w:val="clear" w:color="auto" w:fill="DEEAF6" w:themeFill="accent1" w:themeFillTint="33"/>
          </w:tcPr>
          <w:p w:rsidR="00412F07" w:rsidRPr="00530858" w:rsidRDefault="00412F07" w:rsidP="00920C24">
            <w:pPr>
              <w:spacing w:before="60" w:after="60"/>
              <w:ind w:left="113" w:right="113"/>
              <w:jc w:val="center"/>
              <w:rPr>
                <w:rStyle w:val="PROSAFEblue"/>
                <w:b/>
              </w:rPr>
            </w:pPr>
            <w:r w:rsidRPr="00530858">
              <w:rPr>
                <w:rStyle w:val="PROSAFEblue"/>
              </w:rPr>
              <w:t>Prices (including VAT)</w:t>
            </w:r>
            <w:r w:rsidR="00530858">
              <w:rPr>
                <w:rStyle w:val="PROSAFEblue"/>
              </w:rPr>
              <w:t xml:space="preserve"> *</w:t>
            </w:r>
            <w:r w:rsidRPr="00530858">
              <w:rPr>
                <w:rStyle w:val="PROSAFEblue"/>
              </w:rPr>
              <w:t xml:space="preserve"> for testing according to the relevant harmonised standard and reporting (Euros)</w:t>
            </w:r>
          </w:p>
        </w:tc>
      </w:tr>
      <w:tr w:rsidR="00412F07" w:rsidTr="00412F07">
        <w:tc>
          <w:tcPr>
            <w:tcW w:w="2814" w:type="pct"/>
            <w:tcBorders>
              <w:top w:val="single" w:sz="18" w:space="0" w:color="2F5496" w:themeColor="accent5" w:themeShade="BF"/>
              <w:left w:val="single" w:sz="18" w:space="0" w:color="2F5496" w:themeColor="accent5" w:themeShade="BF"/>
            </w:tcBorders>
          </w:tcPr>
          <w:p w:rsidR="00412F07" w:rsidRPr="00530858" w:rsidRDefault="00412F07" w:rsidP="00412F07">
            <w:pPr>
              <w:pStyle w:val="Text1"/>
              <w:spacing w:before="120" w:after="120"/>
              <w:ind w:left="57" w:right="57"/>
              <w:rPr>
                <w:rFonts w:ascii="Trebuchet MS" w:hAnsi="Trebuchet MS"/>
                <w:spacing w:val="4"/>
                <w:sz w:val="22"/>
                <w:szCs w:val="22"/>
              </w:rPr>
            </w:pPr>
            <w:r w:rsidRPr="00530858">
              <w:rPr>
                <w:rFonts w:ascii="Trebuchet MS" w:hAnsi="Trebuchet MS"/>
                <w:spacing w:val="4"/>
                <w:sz w:val="22"/>
                <w:szCs w:val="22"/>
              </w:rPr>
              <w:t>Dynamic ropes</w:t>
            </w:r>
          </w:p>
        </w:tc>
        <w:tc>
          <w:tcPr>
            <w:tcW w:w="2186" w:type="pct"/>
            <w:tcBorders>
              <w:top w:val="single" w:sz="18" w:space="0" w:color="2F5496" w:themeColor="accent5" w:themeShade="BF"/>
              <w:right w:val="single" w:sz="18" w:space="0" w:color="2F5496" w:themeColor="accent5" w:themeShade="BF"/>
            </w:tcBorders>
          </w:tcPr>
          <w:p w:rsidR="00412F07" w:rsidRPr="00530858" w:rsidRDefault="00412F07" w:rsidP="00412F07">
            <w:pPr>
              <w:pStyle w:val="Text1"/>
              <w:spacing w:before="120" w:after="120"/>
              <w:ind w:left="57" w:right="57"/>
              <w:jc w:val="right"/>
              <w:rPr>
                <w:rFonts w:ascii="Trebuchet MS" w:hAnsi="Trebuchet MS"/>
                <w:spacing w:val="4"/>
                <w:sz w:val="22"/>
                <w:szCs w:val="22"/>
              </w:rPr>
            </w:pPr>
            <w:r w:rsidRPr="00530858">
              <w:rPr>
                <w:rFonts w:ascii="Trebuchet MS" w:hAnsi="Trebuchet MS"/>
                <w:spacing w:val="4"/>
                <w:sz w:val="22"/>
                <w:szCs w:val="22"/>
              </w:rPr>
              <w:t xml:space="preserve"> </w:t>
            </w:r>
          </w:p>
          <w:p w:rsidR="00412F07" w:rsidRPr="00530858" w:rsidRDefault="00412F07" w:rsidP="00412F07">
            <w:pPr>
              <w:pStyle w:val="Text1"/>
              <w:spacing w:before="120" w:after="120"/>
              <w:ind w:left="57" w:right="57"/>
              <w:jc w:val="right"/>
              <w:rPr>
                <w:rFonts w:ascii="Trebuchet MS" w:hAnsi="Trebuchet MS"/>
                <w:spacing w:val="4"/>
                <w:sz w:val="22"/>
                <w:szCs w:val="22"/>
              </w:rPr>
            </w:pPr>
          </w:p>
        </w:tc>
      </w:tr>
      <w:tr w:rsidR="00412F07" w:rsidTr="00412F07">
        <w:tc>
          <w:tcPr>
            <w:tcW w:w="2814" w:type="pct"/>
            <w:tcBorders>
              <w:left w:val="single" w:sz="18" w:space="0" w:color="2F5496" w:themeColor="accent5" w:themeShade="BF"/>
            </w:tcBorders>
          </w:tcPr>
          <w:p w:rsidR="00412F07" w:rsidRPr="00530858" w:rsidRDefault="00412F07" w:rsidP="00412F07">
            <w:pPr>
              <w:pStyle w:val="Text1"/>
              <w:spacing w:before="120" w:after="120"/>
              <w:ind w:left="57" w:right="57"/>
              <w:rPr>
                <w:rFonts w:ascii="Trebuchet MS" w:hAnsi="Trebuchet MS"/>
                <w:spacing w:val="4"/>
                <w:sz w:val="22"/>
                <w:szCs w:val="22"/>
              </w:rPr>
            </w:pPr>
            <w:r w:rsidRPr="00530858">
              <w:rPr>
                <w:rFonts w:ascii="Trebuchet MS" w:hAnsi="Trebuchet MS"/>
                <w:spacing w:val="4"/>
                <w:sz w:val="22"/>
                <w:szCs w:val="22"/>
              </w:rPr>
              <w:t>Connectors</w:t>
            </w:r>
          </w:p>
        </w:tc>
        <w:tc>
          <w:tcPr>
            <w:tcW w:w="2186" w:type="pct"/>
            <w:tcBorders>
              <w:right w:val="single" w:sz="18" w:space="0" w:color="2F5496" w:themeColor="accent5" w:themeShade="BF"/>
            </w:tcBorders>
          </w:tcPr>
          <w:p w:rsidR="00412F07" w:rsidRPr="00530858" w:rsidRDefault="00412F07" w:rsidP="00412F07">
            <w:pPr>
              <w:pStyle w:val="Text1"/>
              <w:spacing w:before="120" w:after="120"/>
              <w:ind w:left="57" w:right="57"/>
              <w:jc w:val="right"/>
              <w:rPr>
                <w:rFonts w:ascii="Trebuchet MS" w:hAnsi="Trebuchet MS"/>
                <w:spacing w:val="4"/>
                <w:sz w:val="22"/>
                <w:szCs w:val="22"/>
              </w:rPr>
            </w:pPr>
          </w:p>
          <w:p w:rsidR="00412F07" w:rsidRPr="00530858" w:rsidRDefault="00412F07" w:rsidP="00412F07">
            <w:pPr>
              <w:pStyle w:val="Text1"/>
              <w:spacing w:before="120" w:after="120"/>
              <w:ind w:left="57" w:right="57"/>
              <w:jc w:val="right"/>
              <w:rPr>
                <w:rFonts w:ascii="Trebuchet MS" w:hAnsi="Trebuchet MS"/>
                <w:spacing w:val="4"/>
                <w:sz w:val="22"/>
                <w:szCs w:val="22"/>
              </w:rPr>
            </w:pPr>
          </w:p>
        </w:tc>
      </w:tr>
      <w:tr w:rsidR="00412F07" w:rsidTr="00412F07">
        <w:tc>
          <w:tcPr>
            <w:tcW w:w="2814" w:type="pct"/>
            <w:tcBorders>
              <w:left w:val="single" w:sz="18" w:space="0" w:color="2F5496" w:themeColor="accent5" w:themeShade="BF"/>
            </w:tcBorders>
          </w:tcPr>
          <w:p w:rsidR="00412F07" w:rsidRPr="00530858" w:rsidRDefault="00412F07" w:rsidP="00412F07">
            <w:pPr>
              <w:pStyle w:val="Text1"/>
              <w:spacing w:before="120" w:after="120"/>
              <w:ind w:left="57" w:right="57"/>
              <w:rPr>
                <w:rFonts w:ascii="Trebuchet MS" w:hAnsi="Trebuchet MS"/>
                <w:spacing w:val="4"/>
                <w:sz w:val="22"/>
                <w:szCs w:val="22"/>
              </w:rPr>
            </w:pPr>
            <w:r w:rsidRPr="00530858">
              <w:rPr>
                <w:rFonts w:ascii="Trebuchet MS" w:hAnsi="Trebuchet MS"/>
                <w:spacing w:val="4"/>
                <w:sz w:val="22"/>
                <w:szCs w:val="22"/>
              </w:rPr>
              <w:t>Harnesses</w:t>
            </w:r>
          </w:p>
        </w:tc>
        <w:tc>
          <w:tcPr>
            <w:tcW w:w="2186" w:type="pct"/>
            <w:tcBorders>
              <w:right w:val="single" w:sz="18" w:space="0" w:color="2F5496" w:themeColor="accent5" w:themeShade="BF"/>
            </w:tcBorders>
          </w:tcPr>
          <w:p w:rsidR="00412F07" w:rsidRPr="00530858" w:rsidRDefault="00412F07" w:rsidP="00412F07">
            <w:pPr>
              <w:pStyle w:val="Text1"/>
              <w:spacing w:before="120" w:after="120"/>
              <w:ind w:left="57" w:right="57"/>
              <w:jc w:val="right"/>
              <w:rPr>
                <w:rFonts w:ascii="Trebuchet MS" w:hAnsi="Trebuchet MS"/>
                <w:spacing w:val="4"/>
                <w:sz w:val="22"/>
                <w:szCs w:val="22"/>
              </w:rPr>
            </w:pPr>
          </w:p>
          <w:p w:rsidR="00412F07" w:rsidRPr="00530858" w:rsidRDefault="00412F07" w:rsidP="00412F07">
            <w:pPr>
              <w:pStyle w:val="Text1"/>
              <w:spacing w:before="120" w:after="120"/>
              <w:ind w:left="57" w:right="57"/>
              <w:jc w:val="right"/>
              <w:rPr>
                <w:rFonts w:ascii="Trebuchet MS" w:hAnsi="Trebuchet MS"/>
                <w:spacing w:val="4"/>
                <w:sz w:val="22"/>
                <w:szCs w:val="22"/>
              </w:rPr>
            </w:pPr>
          </w:p>
        </w:tc>
      </w:tr>
      <w:tr w:rsidR="00412F07" w:rsidTr="00412F07">
        <w:tc>
          <w:tcPr>
            <w:tcW w:w="2814" w:type="pct"/>
            <w:tcBorders>
              <w:left w:val="single" w:sz="18" w:space="0" w:color="2F5496" w:themeColor="accent5" w:themeShade="BF"/>
            </w:tcBorders>
          </w:tcPr>
          <w:p w:rsidR="00412F07" w:rsidRPr="00530858" w:rsidRDefault="00412F07" w:rsidP="00412F07">
            <w:pPr>
              <w:pStyle w:val="Text1"/>
              <w:spacing w:before="120" w:after="120"/>
              <w:ind w:left="57" w:right="57"/>
              <w:rPr>
                <w:rFonts w:ascii="Trebuchet MS" w:hAnsi="Trebuchet MS"/>
                <w:spacing w:val="4"/>
                <w:sz w:val="22"/>
                <w:szCs w:val="22"/>
              </w:rPr>
            </w:pPr>
            <w:r w:rsidRPr="00530858">
              <w:rPr>
                <w:rFonts w:ascii="Trebuchet MS" w:hAnsi="Trebuchet MS"/>
                <w:spacing w:val="4"/>
                <w:sz w:val="22"/>
                <w:szCs w:val="22"/>
              </w:rPr>
              <w:t>Helmets</w:t>
            </w:r>
          </w:p>
        </w:tc>
        <w:tc>
          <w:tcPr>
            <w:tcW w:w="2186" w:type="pct"/>
            <w:tcBorders>
              <w:right w:val="single" w:sz="18" w:space="0" w:color="2F5496" w:themeColor="accent5" w:themeShade="BF"/>
            </w:tcBorders>
          </w:tcPr>
          <w:p w:rsidR="00412F07" w:rsidRPr="00530858" w:rsidRDefault="00412F07" w:rsidP="00412F07">
            <w:pPr>
              <w:pStyle w:val="Text1"/>
              <w:spacing w:before="120" w:after="120"/>
              <w:ind w:left="57" w:right="57"/>
              <w:jc w:val="right"/>
              <w:rPr>
                <w:rFonts w:ascii="Trebuchet MS" w:hAnsi="Trebuchet MS"/>
                <w:spacing w:val="4"/>
                <w:sz w:val="22"/>
                <w:szCs w:val="22"/>
              </w:rPr>
            </w:pPr>
          </w:p>
          <w:p w:rsidR="00412F07" w:rsidRPr="00530858" w:rsidRDefault="00412F07" w:rsidP="00412F07">
            <w:pPr>
              <w:pStyle w:val="Text1"/>
              <w:spacing w:before="120" w:after="120"/>
              <w:ind w:left="57" w:right="57"/>
              <w:jc w:val="right"/>
              <w:rPr>
                <w:rFonts w:ascii="Trebuchet MS" w:hAnsi="Trebuchet MS"/>
                <w:spacing w:val="4"/>
                <w:sz w:val="22"/>
                <w:szCs w:val="22"/>
              </w:rPr>
            </w:pPr>
          </w:p>
        </w:tc>
      </w:tr>
      <w:tr w:rsidR="00412F07" w:rsidTr="00412F07">
        <w:tc>
          <w:tcPr>
            <w:tcW w:w="2814" w:type="pct"/>
            <w:tcBorders>
              <w:left w:val="single" w:sz="18" w:space="0" w:color="2F5496" w:themeColor="accent5" w:themeShade="BF"/>
              <w:bottom w:val="single" w:sz="12" w:space="0" w:color="002060"/>
            </w:tcBorders>
          </w:tcPr>
          <w:p w:rsidR="00412F07" w:rsidRPr="00530858" w:rsidRDefault="00412F07" w:rsidP="00412F07">
            <w:pPr>
              <w:pStyle w:val="Text1"/>
              <w:spacing w:before="120" w:after="120"/>
              <w:ind w:left="57" w:right="57"/>
              <w:jc w:val="left"/>
              <w:rPr>
                <w:rFonts w:ascii="Trebuchet MS" w:hAnsi="Trebuchet MS"/>
                <w:spacing w:val="4"/>
                <w:sz w:val="22"/>
                <w:szCs w:val="22"/>
              </w:rPr>
            </w:pPr>
            <w:r w:rsidRPr="00530858">
              <w:rPr>
                <w:rFonts w:ascii="Trebuchet MS" w:hAnsi="Trebuchet MS"/>
                <w:spacing w:val="4"/>
                <w:sz w:val="22"/>
                <w:szCs w:val="22"/>
              </w:rPr>
              <w:t xml:space="preserve">Energy absorbing systems for use in </w:t>
            </w:r>
            <w:proofErr w:type="spellStart"/>
            <w:r w:rsidRPr="00530858">
              <w:rPr>
                <w:rFonts w:ascii="Trebuchet MS" w:hAnsi="Trebuchet MS"/>
                <w:spacing w:val="4"/>
                <w:sz w:val="22"/>
                <w:szCs w:val="22"/>
              </w:rPr>
              <w:t>klettersteig</w:t>
            </w:r>
            <w:proofErr w:type="spellEnd"/>
            <w:r w:rsidRPr="00530858">
              <w:rPr>
                <w:rFonts w:ascii="Trebuchet MS" w:hAnsi="Trebuchet MS"/>
                <w:spacing w:val="4"/>
                <w:sz w:val="22"/>
                <w:szCs w:val="22"/>
              </w:rPr>
              <w:t xml:space="preserve"> (via </w:t>
            </w:r>
            <w:proofErr w:type="spellStart"/>
            <w:r w:rsidRPr="00530858">
              <w:rPr>
                <w:rFonts w:ascii="Trebuchet MS" w:hAnsi="Trebuchet MS"/>
                <w:spacing w:val="4"/>
                <w:sz w:val="22"/>
                <w:szCs w:val="22"/>
              </w:rPr>
              <w:t>ferrata</w:t>
            </w:r>
            <w:proofErr w:type="spellEnd"/>
            <w:r w:rsidRPr="00530858">
              <w:rPr>
                <w:rFonts w:ascii="Trebuchet MS" w:hAnsi="Trebuchet MS"/>
                <w:spacing w:val="4"/>
                <w:sz w:val="22"/>
                <w:szCs w:val="22"/>
              </w:rPr>
              <w:t>) climbing</w:t>
            </w:r>
          </w:p>
        </w:tc>
        <w:tc>
          <w:tcPr>
            <w:tcW w:w="2186" w:type="pct"/>
            <w:tcBorders>
              <w:bottom w:val="single" w:sz="12" w:space="0" w:color="002060"/>
              <w:right w:val="single" w:sz="18" w:space="0" w:color="2F5496" w:themeColor="accent5" w:themeShade="BF"/>
            </w:tcBorders>
          </w:tcPr>
          <w:p w:rsidR="00412F07" w:rsidRPr="00530858" w:rsidRDefault="00412F07" w:rsidP="00412F07">
            <w:pPr>
              <w:pStyle w:val="Text1"/>
              <w:spacing w:before="120" w:after="120"/>
              <w:ind w:left="57" w:right="57"/>
              <w:jc w:val="right"/>
              <w:rPr>
                <w:rFonts w:ascii="Trebuchet MS" w:hAnsi="Trebuchet MS"/>
                <w:spacing w:val="4"/>
                <w:sz w:val="22"/>
                <w:szCs w:val="22"/>
              </w:rPr>
            </w:pPr>
          </w:p>
        </w:tc>
      </w:tr>
      <w:tr w:rsidR="00412F07" w:rsidTr="00412F07">
        <w:tc>
          <w:tcPr>
            <w:tcW w:w="2814" w:type="pct"/>
            <w:tcBorders>
              <w:top w:val="single" w:sz="12" w:space="0" w:color="002060"/>
              <w:left w:val="single" w:sz="18" w:space="0" w:color="2F5496" w:themeColor="accent5" w:themeShade="BF"/>
              <w:bottom w:val="single" w:sz="18" w:space="0" w:color="2F5496" w:themeColor="accent5" w:themeShade="BF"/>
            </w:tcBorders>
          </w:tcPr>
          <w:p w:rsidR="00412F07" w:rsidRPr="00530858" w:rsidRDefault="00412F07" w:rsidP="00412F07">
            <w:pPr>
              <w:pStyle w:val="Text1"/>
              <w:spacing w:before="120" w:after="120"/>
              <w:ind w:left="57" w:right="57"/>
              <w:rPr>
                <w:rFonts w:ascii="Trebuchet MS" w:hAnsi="Trebuchet MS"/>
                <w:spacing w:val="4"/>
                <w:sz w:val="22"/>
                <w:szCs w:val="22"/>
              </w:rPr>
            </w:pPr>
            <w:r w:rsidRPr="00530858">
              <w:rPr>
                <w:rFonts w:ascii="Trebuchet MS" w:hAnsi="Trebuchet MS"/>
                <w:spacing w:val="4"/>
                <w:sz w:val="22"/>
                <w:szCs w:val="22"/>
              </w:rPr>
              <w:t>Discounts for quantity (%)</w:t>
            </w:r>
          </w:p>
          <w:p w:rsidR="00412F07" w:rsidRPr="00530858" w:rsidRDefault="00412F07" w:rsidP="00412F07">
            <w:pPr>
              <w:pStyle w:val="Text1"/>
              <w:spacing w:before="120" w:after="120"/>
              <w:ind w:left="57" w:right="57"/>
              <w:rPr>
                <w:rFonts w:ascii="Trebuchet MS" w:hAnsi="Trebuchet MS"/>
                <w:spacing w:val="4"/>
                <w:sz w:val="22"/>
                <w:szCs w:val="22"/>
              </w:rPr>
            </w:pPr>
          </w:p>
          <w:p w:rsidR="00412F07" w:rsidRPr="00530858" w:rsidRDefault="00412F07" w:rsidP="00412F07">
            <w:pPr>
              <w:pStyle w:val="Text1"/>
              <w:spacing w:before="120" w:after="120"/>
              <w:ind w:left="57" w:right="57"/>
              <w:rPr>
                <w:rFonts w:ascii="Trebuchet MS" w:hAnsi="Trebuchet MS"/>
                <w:spacing w:val="4"/>
                <w:sz w:val="22"/>
                <w:szCs w:val="22"/>
              </w:rPr>
            </w:pPr>
            <w:bookmarkStart w:id="0" w:name="_GoBack"/>
            <w:bookmarkEnd w:id="0"/>
          </w:p>
          <w:p w:rsidR="00412F07" w:rsidRPr="00530858" w:rsidRDefault="00412F07" w:rsidP="00412F07">
            <w:pPr>
              <w:pStyle w:val="Text1"/>
              <w:spacing w:before="120" w:after="120"/>
              <w:ind w:left="57" w:right="57"/>
              <w:rPr>
                <w:rFonts w:ascii="Trebuchet MS" w:hAnsi="Trebuchet MS"/>
                <w:spacing w:val="4"/>
                <w:sz w:val="22"/>
                <w:szCs w:val="22"/>
              </w:rPr>
            </w:pPr>
          </w:p>
        </w:tc>
        <w:tc>
          <w:tcPr>
            <w:tcW w:w="2186" w:type="pct"/>
            <w:tcBorders>
              <w:top w:val="single" w:sz="12" w:space="0" w:color="002060"/>
              <w:bottom w:val="single" w:sz="18" w:space="0" w:color="2F5496" w:themeColor="accent5" w:themeShade="BF"/>
              <w:right w:val="single" w:sz="18" w:space="0" w:color="2F5496" w:themeColor="accent5" w:themeShade="BF"/>
            </w:tcBorders>
          </w:tcPr>
          <w:p w:rsidR="00412F07" w:rsidRPr="00530858" w:rsidRDefault="00412F07" w:rsidP="00412F07">
            <w:pPr>
              <w:pStyle w:val="Text1"/>
              <w:spacing w:before="120" w:after="120"/>
              <w:ind w:left="57" w:right="57"/>
              <w:jc w:val="right"/>
              <w:rPr>
                <w:rFonts w:ascii="Trebuchet MS" w:hAnsi="Trebuchet MS"/>
                <w:spacing w:val="4"/>
                <w:sz w:val="22"/>
                <w:szCs w:val="22"/>
              </w:rPr>
            </w:pPr>
          </w:p>
          <w:p w:rsidR="00412F07" w:rsidRPr="00530858" w:rsidRDefault="00412F07" w:rsidP="00412F07">
            <w:pPr>
              <w:pStyle w:val="Text1"/>
              <w:spacing w:before="120" w:after="120"/>
              <w:ind w:left="57" w:right="57"/>
              <w:jc w:val="right"/>
              <w:rPr>
                <w:rFonts w:ascii="Trebuchet MS" w:hAnsi="Trebuchet MS"/>
                <w:spacing w:val="4"/>
                <w:sz w:val="22"/>
                <w:szCs w:val="22"/>
              </w:rPr>
            </w:pPr>
          </w:p>
        </w:tc>
      </w:tr>
    </w:tbl>
    <w:p w:rsidR="00EB1E98" w:rsidRPr="00530858" w:rsidRDefault="000E005F" w:rsidP="000E005F">
      <w:pPr>
        <w:pStyle w:val="Text1"/>
        <w:spacing w:before="360" w:after="0"/>
        <w:ind w:left="0"/>
        <w:rPr>
          <w:rFonts w:ascii="Trebuchet MS" w:hAnsi="Trebuchet MS"/>
          <w:b/>
          <w:spacing w:val="4"/>
          <w:sz w:val="22"/>
          <w:szCs w:val="22"/>
        </w:rPr>
      </w:pPr>
      <w:r w:rsidRPr="00530858">
        <w:rPr>
          <w:rFonts w:ascii="Trebuchet MS" w:hAnsi="Trebuchet MS"/>
          <w:b/>
          <w:spacing w:val="4"/>
          <w:sz w:val="22"/>
          <w:szCs w:val="22"/>
        </w:rPr>
        <w:t xml:space="preserve">* </w:t>
      </w:r>
      <w:r w:rsidR="00412F07" w:rsidRPr="00530858">
        <w:rPr>
          <w:rFonts w:ascii="Trebuchet MS" w:hAnsi="Trebuchet MS"/>
          <w:b/>
          <w:spacing w:val="4"/>
          <w:sz w:val="22"/>
          <w:szCs w:val="22"/>
        </w:rPr>
        <w:t>All prices quoted shall include VAT</w:t>
      </w:r>
      <w:r w:rsidR="00412F07" w:rsidRPr="00530858">
        <w:rPr>
          <w:rFonts w:ascii="Trebuchet MS" w:hAnsi="Trebuchet MS"/>
          <w:b/>
          <w:spacing w:val="4"/>
          <w:sz w:val="22"/>
          <w:szCs w:val="22"/>
        </w:rPr>
        <w:t xml:space="preserve"> at the national rate</w:t>
      </w:r>
      <w:r w:rsidR="00412F07" w:rsidRPr="00530858">
        <w:rPr>
          <w:rFonts w:ascii="Trebuchet MS" w:hAnsi="Trebuchet MS"/>
          <w:b/>
          <w:spacing w:val="4"/>
          <w:sz w:val="22"/>
          <w:szCs w:val="22"/>
        </w:rPr>
        <w:t xml:space="preserve">. It shall be noted that PROSAFE is not able to recover VAT and does not accept the reverse charge method. </w:t>
      </w:r>
    </w:p>
    <w:sectPr w:rsidR="00EB1E98" w:rsidRPr="005308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6BB" w:rsidRDefault="00E556BB" w:rsidP="000E005F">
      <w:r>
        <w:separator/>
      </w:r>
    </w:p>
  </w:endnote>
  <w:endnote w:type="continuationSeparator" w:id="0">
    <w:p w:rsidR="00E556BB" w:rsidRDefault="00E556BB" w:rsidP="000E0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6BB" w:rsidRDefault="00E556BB" w:rsidP="000E005F">
      <w:r>
        <w:separator/>
      </w:r>
    </w:p>
  </w:footnote>
  <w:footnote w:type="continuationSeparator" w:id="0">
    <w:p w:rsidR="00E556BB" w:rsidRDefault="00E556BB" w:rsidP="000E0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05F" w:rsidRDefault="000E005F">
    <w:pPr>
      <w:pStyle w:val="En-tte"/>
    </w:pPr>
    <w:r w:rsidRPr="0023439E">
      <w:rPr>
        <w:noProof/>
        <w:color w:val="0A3296"/>
      </w:rPr>
      <w:drawing>
        <wp:anchor distT="0" distB="0" distL="114300" distR="114300" simplePos="0" relativeHeight="251661312" behindDoc="0" locked="0" layoutInCell="1" allowOverlap="1" wp14:anchorId="1AE5D76A" wp14:editId="7E85C9EE">
          <wp:simplePos x="0" y="0"/>
          <wp:positionH relativeFrom="column">
            <wp:posOffset>3935095</wp:posOffset>
          </wp:positionH>
          <wp:positionV relativeFrom="paragraph">
            <wp:posOffset>-130175</wp:posOffset>
          </wp:positionV>
          <wp:extent cx="2391410" cy="485140"/>
          <wp:effectExtent l="0" t="0" r="0" b="0"/>
          <wp:wrapSquare wrapText="bothSides"/>
          <wp:docPr id="9" name="Picture 1" descr="EU_flag_and_co-funded_by_the_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flag_and_co-funded_by_the_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1410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439E">
      <w:rPr>
        <w:noProof/>
        <w:color w:val="0A3296"/>
      </w:rPr>
      <w:drawing>
        <wp:anchor distT="0" distB="0" distL="114300" distR="114300" simplePos="0" relativeHeight="251659264" behindDoc="1" locked="0" layoutInCell="1" allowOverlap="1" wp14:anchorId="5F6A0CD1" wp14:editId="027A9029">
          <wp:simplePos x="0" y="0"/>
          <wp:positionH relativeFrom="column">
            <wp:posOffset>0</wp:posOffset>
          </wp:positionH>
          <wp:positionV relativeFrom="paragraph">
            <wp:posOffset>-290195</wp:posOffset>
          </wp:positionV>
          <wp:extent cx="1378585" cy="724535"/>
          <wp:effectExtent l="0" t="0" r="0" b="0"/>
          <wp:wrapTight wrapText="bothSides">
            <wp:wrapPolygon edited="0">
              <wp:start x="5373" y="0"/>
              <wp:lineTo x="2686" y="1136"/>
              <wp:lineTo x="298" y="5679"/>
              <wp:lineTo x="0" y="10223"/>
              <wp:lineTo x="0" y="18174"/>
              <wp:lineTo x="1492" y="18174"/>
              <wp:lineTo x="2388" y="21013"/>
              <wp:lineTo x="4477" y="21013"/>
              <wp:lineTo x="6865" y="21013"/>
              <wp:lineTo x="21192" y="21013"/>
              <wp:lineTo x="21192" y="6247"/>
              <wp:lineTo x="6865" y="0"/>
              <wp:lineTo x="5373" y="0"/>
            </wp:wrapPolygon>
          </wp:wrapTight>
          <wp:docPr id="6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58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638B9"/>
    <w:multiLevelType w:val="hybridMultilevel"/>
    <w:tmpl w:val="B3B4974A"/>
    <w:lvl w:ilvl="0" w:tplc="80C201A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F07"/>
    <w:rsid w:val="00040FD3"/>
    <w:rsid w:val="000E005F"/>
    <w:rsid w:val="00412F07"/>
    <w:rsid w:val="00530858"/>
    <w:rsid w:val="00E556BB"/>
    <w:rsid w:val="00EB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56902"/>
  <w15:chartTrackingRefBased/>
  <w15:docId w15:val="{2FC0384C-49F4-42D1-B721-08393F76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12F07"/>
    <w:pPr>
      <w:spacing w:after="0" w:line="240" w:lineRule="auto"/>
      <w:ind w:left="720"/>
    </w:pPr>
    <w:rPr>
      <w:rFonts w:ascii="Trebuchet MS" w:eastAsia="Calibri" w:hAnsi="Trebuchet MS" w:cs="Times New Roman"/>
      <w:b/>
      <w:color w:val="4600AA"/>
      <w:spacing w:val="6"/>
      <w:sz w:val="21"/>
      <w:szCs w:val="21"/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ROSAFEblue">
    <w:name w:val="PROSAFE blue"/>
    <w:basedOn w:val="Policepardfaut"/>
    <w:uiPriority w:val="1"/>
    <w:qFormat/>
    <w:rsid w:val="00040FD3"/>
    <w:rPr>
      <w:rFonts w:ascii="Trebuchet MS" w:hAnsi="Trebuchet MS"/>
      <w:b/>
      <w:color w:val="0A3296"/>
      <w:sz w:val="22"/>
      <w:szCs w:val="22"/>
    </w:rPr>
  </w:style>
  <w:style w:type="paragraph" w:customStyle="1" w:styleId="Text1">
    <w:name w:val="Text 1"/>
    <w:basedOn w:val="Normal"/>
    <w:rsid w:val="00412F07"/>
    <w:pPr>
      <w:spacing w:after="240"/>
      <w:ind w:left="482"/>
      <w:jc w:val="both"/>
    </w:pPr>
    <w:rPr>
      <w:rFonts w:ascii="Times New Roman" w:hAnsi="Times New Roman"/>
      <w:b w:val="0"/>
      <w:color w:val="auto"/>
      <w:spacing w:val="0"/>
      <w:sz w:val="24"/>
      <w:szCs w:val="24"/>
    </w:rPr>
  </w:style>
  <w:style w:type="table" w:styleId="Grilledutableau">
    <w:name w:val="Table Grid"/>
    <w:basedOn w:val="TableauNormal"/>
    <w:uiPriority w:val="39"/>
    <w:rsid w:val="00412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E005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E005F"/>
    <w:rPr>
      <w:rFonts w:ascii="Trebuchet MS" w:eastAsia="Calibri" w:hAnsi="Trebuchet MS" w:cs="Times New Roman"/>
      <w:b/>
      <w:color w:val="4600AA"/>
      <w:spacing w:val="6"/>
      <w:sz w:val="21"/>
      <w:szCs w:val="21"/>
      <w:lang w:val="en-GB" w:eastAsia="en-GB"/>
    </w:rPr>
  </w:style>
  <w:style w:type="paragraph" w:styleId="Pieddepage">
    <w:name w:val="footer"/>
    <w:basedOn w:val="Normal"/>
    <w:link w:val="PieddepageCar"/>
    <w:uiPriority w:val="99"/>
    <w:unhideWhenUsed/>
    <w:rsid w:val="000E005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005F"/>
    <w:rPr>
      <w:rFonts w:ascii="Trebuchet MS" w:eastAsia="Calibri" w:hAnsi="Trebuchet MS" w:cs="Times New Roman"/>
      <w:b/>
      <w:color w:val="4600AA"/>
      <w:spacing w:val="6"/>
      <w:sz w:val="21"/>
      <w:szCs w:val="21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2018-01-08T15:30:00Z</dcterms:created>
  <dcterms:modified xsi:type="dcterms:W3CDTF">2018-01-08T15:42:00Z</dcterms:modified>
</cp:coreProperties>
</file>